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rsidR="009E1168" w:rsidRPr="00EA3483" w:rsidRDefault="00D747A9">
      <w:pPr>
        <w:pStyle w:val="Normal1"/>
        <w:jc w:val="center"/>
      </w:pPr>
      <w:r>
        <w:rPr>
          <w:rFonts w:eastAsia="Times New Roman"/>
          <w:b/>
        </w:rPr>
        <w:t>201</w:t>
      </w:r>
      <w:r w:rsidR="00746C08">
        <w:rPr>
          <w:rFonts w:eastAsia="Times New Roman"/>
          <w:b/>
        </w:rPr>
        <w:t>7</w:t>
      </w:r>
    </w:p>
    <w:p w:rsidR="009E1168" w:rsidRDefault="009E1168">
      <w:pPr>
        <w:pStyle w:val="Normal1"/>
        <w:jc w:val="center"/>
      </w:pPr>
    </w:p>
    <w:p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rsidR="00ED1392" w:rsidRDefault="00ED1392" w:rsidP="00EA3483">
      <w:pPr>
        <w:pStyle w:val="Normal1"/>
        <w:jc w:val="both"/>
        <w:rPr>
          <w:rFonts w:eastAsia="Times New Roman"/>
          <w:szCs w:val="22"/>
        </w:rPr>
      </w:pPr>
    </w:p>
    <w:p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rsidR="00BC4FB4" w:rsidRDefault="00BC4FB4" w:rsidP="00EA3483">
      <w:pPr>
        <w:pStyle w:val="Normal1"/>
        <w:contextualSpacing/>
        <w:jc w:val="both"/>
        <w:rPr>
          <w:szCs w:val="22"/>
        </w:rPr>
      </w:pPr>
      <w:r>
        <w:rPr>
          <w:szCs w:val="22"/>
        </w:rPr>
        <w:t>The following are eligible to apply for a Nevada Grand Assembly scholarship:</w:t>
      </w:r>
    </w:p>
    <w:p w:rsidR="00BC4FB4" w:rsidRDefault="00BC4FB4" w:rsidP="00BC4FB4">
      <w:pPr>
        <w:pStyle w:val="Normal1"/>
        <w:numPr>
          <w:ilvl w:val="0"/>
          <w:numId w:val="13"/>
        </w:numPr>
        <w:contextualSpacing/>
        <w:jc w:val="both"/>
        <w:rPr>
          <w:szCs w:val="22"/>
        </w:rPr>
      </w:pPr>
      <w:r>
        <w:rPr>
          <w:szCs w:val="22"/>
        </w:rPr>
        <w:t>Active Nevada Rainbow members in good standing (dues paid; not cohabitating), including:</w:t>
      </w:r>
    </w:p>
    <w:p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rsidR="00BC4FB4" w:rsidRDefault="00BC4FB4" w:rsidP="00BC4FB4">
      <w:pPr>
        <w:pStyle w:val="Normal1"/>
        <w:contextualSpacing/>
        <w:jc w:val="both"/>
        <w:rPr>
          <w:szCs w:val="22"/>
        </w:rPr>
      </w:pPr>
    </w:p>
    <w:p w:rsidR="00324238" w:rsidRPr="00ED1392" w:rsidRDefault="00324238" w:rsidP="00BC4FB4">
      <w:pPr>
        <w:pStyle w:val="Normal1"/>
        <w:contextualSpacing/>
        <w:jc w:val="both"/>
        <w:rPr>
          <w:szCs w:val="22"/>
          <w:u w:val="single"/>
        </w:rPr>
      </w:pPr>
      <w:r w:rsidRPr="00ED1392">
        <w:rPr>
          <w:szCs w:val="22"/>
          <w:u w:val="single"/>
        </w:rPr>
        <w:t>What academic programs are eligible?</w:t>
      </w:r>
    </w:p>
    <w:p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rsidR="00A21209" w:rsidRDefault="00A21209" w:rsidP="00BC4FB4">
      <w:pPr>
        <w:pStyle w:val="Normal1"/>
        <w:contextualSpacing/>
        <w:jc w:val="both"/>
        <w:rPr>
          <w:szCs w:val="22"/>
        </w:rPr>
      </w:pPr>
    </w:p>
    <w:p w:rsidR="00A21209" w:rsidRDefault="00A21209" w:rsidP="00BC4FB4">
      <w:pPr>
        <w:pStyle w:val="Normal1"/>
        <w:contextualSpacing/>
        <w:jc w:val="both"/>
        <w:rPr>
          <w:szCs w:val="22"/>
          <w:u w:val="single"/>
        </w:rPr>
      </w:pPr>
      <w:r>
        <w:rPr>
          <w:szCs w:val="22"/>
          <w:u w:val="single"/>
        </w:rPr>
        <w:t>How many scholarships will be awarded?</w:t>
      </w:r>
    </w:p>
    <w:p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rsidR="00BC4FB4" w:rsidRDefault="00BC4FB4" w:rsidP="00BC4FB4">
      <w:pPr>
        <w:pStyle w:val="Normal1"/>
        <w:contextualSpacing/>
        <w:jc w:val="both"/>
        <w:rPr>
          <w:szCs w:val="22"/>
        </w:rPr>
      </w:pPr>
    </w:p>
    <w:p w:rsidR="00BC4FB4" w:rsidRDefault="00324238" w:rsidP="00BC4FB4">
      <w:pPr>
        <w:pStyle w:val="Normal1"/>
        <w:contextualSpacing/>
        <w:jc w:val="both"/>
        <w:rPr>
          <w:szCs w:val="22"/>
          <w:u w:val="single"/>
        </w:rPr>
      </w:pPr>
      <w:r>
        <w:rPr>
          <w:szCs w:val="22"/>
          <w:u w:val="single"/>
        </w:rPr>
        <w:t>When are Scholarship Applications due?</w:t>
      </w:r>
    </w:p>
    <w:p w:rsidR="00ED1392" w:rsidRDefault="00D8154F" w:rsidP="00EA3483">
      <w:pPr>
        <w:jc w:val="both"/>
        <w:rPr>
          <w:color w:val="auto"/>
          <w:szCs w:val="22"/>
        </w:rPr>
      </w:pPr>
      <w:r>
        <w:rPr>
          <w:color w:val="auto"/>
          <w:szCs w:val="22"/>
        </w:rPr>
        <w:t>In 2017, Scholarship Application</w:t>
      </w:r>
      <w:r w:rsidR="00FB5F0D">
        <w:rPr>
          <w:color w:val="auto"/>
          <w:szCs w:val="22"/>
        </w:rPr>
        <w:t xml:space="preserve"> Packages</w:t>
      </w:r>
      <w:r>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Pr>
          <w:color w:val="auto"/>
          <w:szCs w:val="22"/>
        </w:rPr>
        <w:t xml:space="preserve"> during the current academic year must be submitted to the Scholarship Committee Chairman </w:t>
      </w:r>
      <w:r w:rsidR="00FB5F0D">
        <w:rPr>
          <w:color w:val="auto"/>
          <w:szCs w:val="22"/>
        </w:rPr>
        <w:t>b</w:t>
      </w:r>
      <w:r>
        <w:rPr>
          <w:color w:val="auto"/>
          <w:szCs w:val="22"/>
        </w:rPr>
        <w:t xml:space="preserve">y </w:t>
      </w:r>
      <w:r>
        <w:rPr>
          <w:b/>
          <w:color w:val="auto"/>
          <w:szCs w:val="22"/>
        </w:rPr>
        <w:t>March 1</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rsidR="00ED1392" w:rsidRDefault="00ED1392" w:rsidP="00EA3483">
      <w:pPr>
        <w:jc w:val="both"/>
        <w:rPr>
          <w:color w:val="auto"/>
          <w:szCs w:val="22"/>
        </w:rPr>
      </w:pPr>
    </w:p>
    <w:p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Pr>
          <w:b/>
          <w:color w:val="auto"/>
          <w:szCs w:val="22"/>
        </w:rPr>
        <w:t xml:space="preserve">May </w:t>
      </w:r>
      <w:r w:rsidR="00C14F32">
        <w:rPr>
          <w:b/>
          <w:color w:val="auto"/>
          <w:szCs w:val="22"/>
        </w:rPr>
        <w:t>25</w:t>
      </w:r>
      <w:r w:rsidR="00FB5F0D">
        <w:rPr>
          <w:color w:val="auto"/>
          <w:szCs w:val="22"/>
        </w:rPr>
        <w:t xml:space="preserve">. Scholarship recipients </w:t>
      </w:r>
      <w:r w:rsidR="00C14F32">
        <w:rPr>
          <w:color w:val="auto"/>
          <w:szCs w:val="22"/>
        </w:rPr>
        <w:t>will be announced during Nevada Grand Assembly, in June.</w:t>
      </w:r>
    </w:p>
    <w:p w:rsidR="00D8154F" w:rsidRDefault="00D8154F" w:rsidP="00EA3483">
      <w:pPr>
        <w:jc w:val="both"/>
        <w:rPr>
          <w:color w:val="auto"/>
          <w:szCs w:val="22"/>
        </w:rPr>
      </w:pPr>
    </w:p>
    <w:p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rsidR="00324238" w:rsidRDefault="00324238" w:rsidP="00EA3483">
      <w:pPr>
        <w:jc w:val="both"/>
        <w:rPr>
          <w:color w:val="auto"/>
          <w:szCs w:val="22"/>
        </w:rPr>
      </w:pPr>
    </w:p>
    <w:p w:rsidR="00324238" w:rsidRDefault="00324238" w:rsidP="00EA3483">
      <w:pPr>
        <w:jc w:val="both"/>
        <w:rPr>
          <w:color w:val="auto"/>
          <w:szCs w:val="22"/>
        </w:rPr>
      </w:pPr>
      <w:r>
        <w:rPr>
          <w:color w:val="auto"/>
          <w:szCs w:val="22"/>
          <w:u w:val="single"/>
        </w:rPr>
        <w:t>What is included in the Application Package?</w:t>
      </w:r>
    </w:p>
    <w:p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bookmarkStart w:id="0" w:name="_GoBack"/>
      <w:bookmarkEnd w:id="0"/>
    </w:p>
    <w:p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6B6D9B" w:rsidRPr="00EA3483" w:rsidRDefault="006B6D9B" w:rsidP="00EA3483">
      <w:pPr>
        <w:pStyle w:val="Level1"/>
        <w:widowControl/>
        <w:tabs>
          <w:tab w:val="left" w:pos="0"/>
        </w:tabs>
        <w:ind w:firstLine="0"/>
        <w:jc w:val="both"/>
        <w:rPr>
          <w:rFonts w:ascii="Arial" w:hAnsi="Arial" w:cs="Arial"/>
          <w:b/>
          <w:color w:val="auto"/>
          <w:sz w:val="22"/>
          <w:szCs w:val="22"/>
        </w:rPr>
      </w:pPr>
    </w:p>
    <w:p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rsidR="006B6D9B"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 xml:space="preserve">Proof of enrollment </w:t>
      </w:r>
      <w:r w:rsidR="00C14F32">
        <w:rPr>
          <w:rFonts w:ascii="Arial" w:hAnsi="Arial" w:cs="Arial"/>
          <w:color w:val="auto"/>
          <w:sz w:val="22"/>
          <w:szCs w:val="22"/>
        </w:rPr>
        <w:t>in her chosen school</w:t>
      </w:r>
    </w:p>
    <w:p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rsidR="003941FA" w:rsidRPr="00A06A43" w:rsidRDefault="003941FA" w:rsidP="00A567AE">
      <w:pPr>
        <w:pStyle w:val="Normal1"/>
        <w:contextualSpacing/>
        <w:jc w:val="both"/>
        <w:rPr>
          <w:rFonts w:eastAsia="Times New Roman"/>
          <w:szCs w:val="22"/>
        </w:rPr>
      </w:pPr>
    </w:p>
    <w:p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rsidR="00A06A43" w:rsidRPr="00A06A43" w:rsidRDefault="00A06A43" w:rsidP="00A567AE">
      <w:pPr>
        <w:pStyle w:val="Normal1"/>
        <w:contextualSpacing/>
        <w:jc w:val="both"/>
        <w:rPr>
          <w:rFonts w:eastAsia="Times New Roman"/>
          <w:szCs w:val="22"/>
        </w:rPr>
      </w:pPr>
    </w:p>
    <w:p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rsidR="001A0B14" w:rsidRPr="00A06A43" w:rsidRDefault="001A0B14" w:rsidP="00A567AE">
      <w:pPr>
        <w:pStyle w:val="Normal1"/>
        <w:contextualSpacing/>
        <w:jc w:val="both"/>
        <w:rPr>
          <w:rFonts w:eastAsia="Times New Roman"/>
          <w:szCs w:val="22"/>
        </w:rPr>
      </w:pPr>
    </w:p>
    <w:p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rsidR="003941FA" w:rsidRDefault="003941FA" w:rsidP="00A567AE">
      <w:pPr>
        <w:pStyle w:val="Normal1"/>
        <w:contextualSpacing/>
        <w:jc w:val="both"/>
        <w:rPr>
          <w:rFonts w:eastAsia="Times New Roman"/>
          <w:szCs w:val="22"/>
        </w:rPr>
      </w:pPr>
    </w:p>
    <w:p w:rsidR="00A567AE" w:rsidRDefault="00A567AE" w:rsidP="00A567AE">
      <w:pPr>
        <w:pStyle w:val="Normal1"/>
        <w:contextualSpacing/>
        <w:jc w:val="both"/>
        <w:rPr>
          <w:rFonts w:eastAsia="Times New Roman"/>
          <w:szCs w:val="22"/>
          <w:u w:val="single"/>
        </w:rPr>
      </w:pPr>
      <w:r>
        <w:rPr>
          <w:rFonts w:eastAsia="Times New Roman"/>
          <w:szCs w:val="22"/>
          <w:u w:val="single"/>
        </w:rPr>
        <w:t>How are applications submitted?</w:t>
      </w:r>
    </w:p>
    <w:p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rsidR="00A567AE" w:rsidRDefault="00A567AE" w:rsidP="00A567AE">
      <w:pPr>
        <w:pStyle w:val="Normal1"/>
        <w:contextualSpacing/>
        <w:jc w:val="both"/>
        <w:rPr>
          <w:rFonts w:eastAsia="Times New Roman"/>
          <w:szCs w:val="22"/>
        </w:rPr>
      </w:pPr>
    </w:p>
    <w:p w:rsidR="00D05792" w:rsidRDefault="00D05792" w:rsidP="00A567AE">
      <w:pPr>
        <w:pStyle w:val="Normal1"/>
        <w:contextualSpacing/>
        <w:jc w:val="both"/>
        <w:rPr>
          <w:rFonts w:eastAsia="Times New Roman"/>
          <w:szCs w:val="22"/>
        </w:rPr>
      </w:pPr>
    </w:p>
    <w:p w:rsidR="00A567AE" w:rsidRDefault="00A567AE" w:rsidP="00A567AE">
      <w:pPr>
        <w:pStyle w:val="Normal1"/>
        <w:numPr>
          <w:ilvl w:val="0"/>
          <w:numId w:val="20"/>
        </w:numPr>
        <w:contextualSpacing/>
        <w:jc w:val="both"/>
        <w:rPr>
          <w:rFonts w:eastAsia="Times New Roman"/>
          <w:szCs w:val="22"/>
        </w:rPr>
      </w:pPr>
      <w:r>
        <w:rPr>
          <w:rFonts w:eastAsia="Times New Roman"/>
          <w:szCs w:val="22"/>
        </w:rPr>
        <w:lastRenderedPageBreak/>
        <w:t>Scholarship Application Form</w:t>
      </w:r>
    </w:p>
    <w:p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rsidR="00FB2EA5" w:rsidRDefault="00FB2EA5" w:rsidP="00EA3483">
      <w:pPr>
        <w:pStyle w:val="Normal1"/>
        <w:contextualSpacing/>
        <w:jc w:val="both"/>
        <w:rPr>
          <w:rFonts w:eastAsia="Times New Roman"/>
          <w:szCs w:val="22"/>
          <w:u w:val="single"/>
        </w:rPr>
      </w:pPr>
    </w:p>
    <w:p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rsidR="002E4688" w:rsidRPr="00A563D1" w:rsidRDefault="002E4688" w:rsidP="00EA3483">
      <w:pPr>
        <w:pStyle w:val="Normal1"/>
        <w:jc w:val="both"/>
        <w:rPr>
          <w:rFonts w:eastAsia="Times New Roman"/>
          <w:szCs w:val="22"/>
          <w:highlight w:val="yellow"/>
        </w:rPr>
      </w:pPr>
    </w:p>
    <w:p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rsidR="004B5983" w:rsidRDefault="004B5983" w:rsidP="00EA3483">
      <w:pPr>
        <w:pStyle w:val="Normal1"/>
        <w:jc w:val="both"/>
        <w:rPr>
          <w:rFonts w:eastAsia="Times New Roman"/>
          <w:szCs w:val="22"/>
        </w:rPr>
      </w:pPr>
    </w:p>
    <w:p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rsidR="002D5C22" w:rsidRPr="00EA3483" w:rsidRDefault="0042063D" w:rsidP="00EF7080">
      <w:pPr>
        <w:pStyle w:val="Normal1"/>
        <w:jc w:val="both"/>
        <w:rPr>
          <w:rFonts w:eastAsia="Times New Roman"/>
          <w:szCs w:val="22"/>
        </w:rPr>
      </w:pPr>
      <w:r w:rsidRPr="00EA3483">
        <w:rPr>
          <w:rFonts w:eastAsia="Times New Roman"/>
          <w:szCs w:val="22"/>
        </w:rPr>
        <w:t xml:space="preserve"> </w:t>
      </w:r>
    </w:p>
    <w:p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(not cohabitating)</w:t>
      </w:r>
      <w:r w:rsidRPr="00A563D1">
        <w:rPr>
          <w:rFonts w:ascii="Arial" w:hAnsi="Arial" w:cs="Arial"/>
          <w:color w:val="auto"/>
          <w:sz w:val="22"/>
          <w:szCs w:val="22"/>
        </w:rPr>
        <w:t xml:space="preserve">, 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rsidR="002D5C22" w:rsidRPr="00A563D1"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w:t>
      </w:r>
      <w:proofErr w:type="spellStart"/>
      <w:r w:rsidR="00A563D1" w:rsidRPr="00A563D1">
        <w:rPr>
          <w:rFonts w:eastAsia="Times New Roman"/>
          <w:szCs w:val="22"/>
        </w:rPr>
        <w:t>Tocco</w:t>
      </w:r>
      <w:proofErr w:type="spellEnd"/>
      <w:r w:rsidR="00A563D1" w:rsidRPr="00A563D1">
        <w:rPr>
          <w:rFonts w:eastAsia="Times New Roman"/>
          <w:szCs w:val="22"/>
        </w:rPr>
        <w:t xml:space="preserve">, via email at: </w:t>
      </w:r>
      <w:hyperlink r:id="rId8" w:history="1">
        <w:r w:rsidR="00A563D1" w:rsidRPr="00A563D1">
          <w:rPr>
            <w:rStyle w:val="Hyperlink"/>
            <w:rFonts w:eastAsia="Times New Roman"/>
            <w:szCs w:val="22"/>
          </w:rPr>
          <w:t>safari_dad@aol.com</w:t>
        </w:r>
      </w:hyperlink>
      <w:r w:rsidR="00A563D1" w:rsidRPr="00A563D1">
        <w:rPr>
          <w:rFonts w:eastAsia="Times New Roman"/>
          <w:szCs w:val="22"/>
        </w:rPr>
        <w:t>.</w:t>
      </w:r>
    </w:p>
    <w:sectPr w:rsidR="002D5C22" w:rsidRPr="00A563D1"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7E" w:rsidRDefault="00252C7E" w:rsidP="009E1168">
      <w:pPr>
        <w:spacing w:line="240" w:lineRule="auto"/>
      </w:pPr>
      <w:r>
        <w:separator/>
      </w:r>
    </w:p>
  </w:endnote>
  <w:endnote w:type="continuationSeparator" w:id="0">
    <w:p w:rsidR="00252C7E" w:rsidRDefault="00252C7E"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Pr="004B5983" w:rsidRDefault="00BF27D3">
    <w:pPr>
      <w:pStyle w:val="Normal1"/>
      <w:rPr>
        <w:rFonts w:eastAsia="Times New Roman"/>
        <w:sz w:val="16"/>
      </w:rPr>
    </w:pPr>
    <w:r w:rsidRPr="004B5983">
      <w:rPr>
        <w:rFonts w:eastAsia="Times New Roman"/>
        <w:sz w:val="16"/>
      </w:rPr>
      <w:t xml:space="preserve">Revised </w:t>
    </w:r>
    <w:r w:rsidR="004B5983">
      <w:rPr>
        <w:rFonts w:eastAsia="Times New Roman"/>
        <w:sz w:val="16"/>
      </w:rPr>
      <w:t>Feb. 201</w:t>
    </w:r>
    <w:r w:rsidR="00D747A9">
      <w:rPr>
        <w:rFonts w:eastAsia="Times New Roman"/>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7E" w:rsidRDefault="00252C7E" w:rsidP="009E1168">
      <w:pPr>
        <w:spacing w:line="240" w:lineRule="auto"/>
      </w:pPr>
      <w:r>
        <w:separator/>
      </w:r>
    </w:p>
  </w:footnote>
  <w:footnote w:type="continuationSeparator" w:id="0">
    <w:p w:rsidR="00252C7E" w:rsidRDefault="00252C7E"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1A0B14"/>
    <w:rsid w:val="001A6EC3"/>
    <w:rsid w:val="001B0367"/>
    <w:rsid w:val="001D29A2"/>
    <w:rsid w:val="00226B27"/>
    <w:rsid w:val="00235E54"/>
    <w:rsid w:val="00252C7E"/>
    <w:rsid w:val="00254156"/>
    <w:rsid w:val="002722E4"/>
    <w:rsid w:val="002A5C22"/>
    <w:rsid w:val="002D5C22"/>
    <w:rsid w:val="002E4688"/>
    <w:rsid w:val="00324238"/>
    <w:rsid w:val="003941FA"/>
    <w:rsid w:val="003945D5"/>
    <w:rsid w:val="00400AB7"/>
    <w:rsid w:val="0042063D"/>
    <w:rsid w:val="00433D49"/>
    <w:rsid w:val="00464D33"/>
    <w:rsid w:val="004B5983"/>
    <w:rsid w:val="004D19C7"/>
    <w:rsid w:val="0051195B"/>
    <w:rsid w:val="005735C1"/>
    <w:rsid w:val="00581C49"/>
    <w:rsid w:val="005B6F21"/>
    <w:rsid w:val="005E46FA"/>
    <w:rsid w:val="005F0254"/>
    <w:rsid w:val="005F2094"/>
    <w:rsid w:val="00662821"/>
    <w:rsid w:val="0067019E"/>
    <w:rsid w:val="00686643"/>
    <w:rsid w:val="006B6D9B"/>
    <w:rsid w:val="00746C08"/>
    <w:rsid w:val="0080434F"/>
    <w:rsid w:val="0088443A"/>
    <w:rsid w:val="008A2D95"/>
    <w:rsid w:val="008A4AA2"/>
    <w:rsid w:val="008C36FF"/>
    <w:rsid w:val="008F3A9A"/>
    <w:rsid w:val="0091483B"/>
    <w:rsid w:val="00975E1C"/>
    <w:rsid w:val="009852D7"/>
    <w:rsid w:val="00985D0B"/>
    <w:rsid w:val="009E1168"/>
    <w:rsid w:val="009E3FD5"/>
    <w:rsid w:val="00A06A43"/>
    <w:rsid w:val="00A21209"/>
    <w:rsid w:val="00A563D1"/>
    <w:rsid w:val="00A567AE"/>
    <w:rsid w:val="00A858F0"/>
    <w:rsid w:val="00A9445B"/>
    <w:rsid w:val="00AD2375"/>
    <w:rsid w:val="00B00DCD"/>
    <w:rsid w:val="00B27C26"/>
    <w:rsid w:val="00B5745E"/>
    <w:rsid w:val="00B85DA0"/>
    <w:rsid w:val="00BC4FB4"/>
    <w:rsid w:val="00BE682D"/>
    <w:rsid w:val="00BF27D3"/>
    <w:rsid w:val="00C14F32"/>
    <w:rsid w:val="00C624BE"/>
    <w:rsid w:val="00CB5001"/>
    <w:rsid w:val="00CB5EFD"/>
    <w:rsid w:val="00CC379F"/>
    <w:rsid w:val="00D05792"/>
    <w:rsid w:val="00D11F70"/>
    <w:rsid w:val="00D47C2D"/>
    <w:rsid w:val="00D747A9"/>
    <w:rsid w:val="00D8154F"/>
    <w:rsid w:val="00D97CE4"/>
    <w:rsid w:val="00DB7E4C"/>
    <w:rsid w:val="00DC1D85"/>
    <w:rsid w:val="00EA3483"/>
    <w:rsid w:val="00ED1392"/>
    <w:rsid w:val="00EF7080"/>
    <w:rsid w:val="00F16EA3"/>
    <w:rsid w:val="00FB2EA5"/>
    <w:rsid w:val="00FB5F0D"/>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fari_dad@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heidi sakelarios</cp:lastModifiedBy>
  <cp:revision>11</cp:revision>
  <cp:lastPrinted>2016-02-10T04:14:00Z</cp:lastPrinted>
  <dcterms:created xsi:type="dcterms:W3CDTF">2017-01-31T12:27:00Z</dcterms:created>
  <dcterms:modified xsi:type="dcterms:W3CDTF">2017-02-12T16:54:00Z</dcterms:modified>
</cp:coreProperties>
</file>